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E8" w:rsidRPr="00CF37E8" w:rsidRDefault="00CF37E8" w:rsidP="00CF37E8">
      <w:pPr>
        <w:shd w:val="clear" w:color="auto" w:fill="FFFFFF"/>
        <w:spacing w:after="0" w:line="765" w:lineRule="atLeast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hr-HR"/>
        </w:rPr>
      </w:pPr>
      <w:proofErr w:type="spellStart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>Inkluzivni</w:t>
      </w:r>
      <w:proofErr w:type="spellEnd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dodatak</w:t>
      </w:r>
    </w:p>
    <w:p w:rsidR="00CF37E8" w:rsidRPr="00CF37E8" w:rsidRDefault="00CF37E8" w:rsidP="00CF3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CF37E8" w:rsidRPr="00CF37E8" w:rsidRDefault="00CF37E8" w:rsidP="00C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F37E8">
        <w:rPr>
          <w:rFonts w:ascii="Arial" w:eastAsia="Times New Roman" w:hAnsi="Arial" w:cs="Arial"/>
          <w:sz w:val="24"/>
          <w:szCs w:val="24"/>
          <w:lang w:eastAsia="hr-HR"/>
        </w:rPr>
        <w:t xml:space="preserve">Dana 01.01.2024. godine na snagu je stupio Zakon o </w:t>
      </w:r>
      <w:proofErr w:type="spellStart"/>
      <w:r w:rsidRPr="00CF37E8">
        <w:rPr>
          <w:rFonts w:ascii="Arial" w:eastAsia="Times New Roman" w:hAnsi="Arial" w:cs="Arial"/>
          <w:sz w:val="24"/>
          <w:szCs w:val="24"/>
          <w:lang w:eastAsia="hr-HR"/>
        </w:rPr>
        <w:t>inkluzivnom</w:t>
      </w:r>
      <w:proofErr w:type="spellEnd"/>
      <w:r w:rsidRPr="00CF37E8">
        <w:rPr>
          <w:rFonts w:ascii="Arial" w:eastAsia="Times New Roman" w:hAnsi="Arial" w:cs="Arial"/>
          <w:sz w:val="24"/>
          <w:szCs w:val="24"/>
          <w:lang w:eastAsia="hr-HR"/>
        </w:rPr>
        <w:t xml:space="preserve"> dodatku (NN 156/23) sa svrhom aktivnog promicanja i zaštite ljudskih prava osoba s invaliditetom.</w:t>
      </w:r>
    </w:p>
    <w:p w:rsidR="00CF37E8" w:rsidRPr="00CF37E8" w:rsidRDefault="00CF37E8" w:rsidP="00C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hyperlink r:id="rId4" w:history="1">
        <w:r w:rsidRPr="00CF37E8">
          <w:rPr>
            <w:rFonts w:ascii="Arial" w:eastAsia="Times New Roman" w:hAnsi="Arial" w:cs="Arial"/>
            <w:sz w:val="24"/>
            <w:szCs w:val="24"/>
            <w:lang w:eastAsia="hr-HR"/>
          </w:rPr>
          <w:t xml:space="preserve">Zakonom o </w:t>
        </w:r>
        <w:proofErr w:type="spellStart"/>
        <w:r w:rsidRPr="00CF37E8">
          <w:rPr>
            <w:rFonts w:ascii="Arial" w:eastAsia="Times New Roman" w:hAnsi="Arial" w:cs="Arial"/>
            <w:sz w:val="24"/>
            <w:szCs w:val="24"/>
            <w:lang w:eastAsia="hr-HR"/>
          </w:rPr>
          <w:t>inkluzivnom</w:t>
        </w:r>
        <w:proofErr w:type="spellEnd"/>
        <w:r w:rsidRPr="00CF37E8">
          <w:rPr>
            <w:rFonts w:ascii="Arial" w:eastAsia="Times New Roman" w:hAnsi="Arial" w:cs="Arial"/>
            <w:sz w:val="24"/>
            <w:szCs w:val="24"/>
            <w:lang w:eastAsia="hr-HR"/>
          </w:rPr>
          <w:t xml:space="preserve"> dodatku</w:t>
        </w:r>
      </w:hyperlink>
      <w:r w:rsidRPr="00CF37E8">
        <w:rPr>
          <w:rFonts w:ascii="Arial" w:eastAsia="Times New Roman" w:hAnsi="Arial" w:cs="Arial"/>
          <w:sz w:val="24"/>
          <w:szCs w:val="24"/>
          <w:lang w:eastAsia="hr-HR"/>
        </w:rPr>
        <w:t> objedinjuje se </w:t>
      </w: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>pravo na osobnu invalidninu i pravo na doplatak za pomoć i njegu koje se ostvaruju sukladno </w:t>
      </w:r>
      <w:hyperlink r:id="rId5" w:history="1">
        <w:r w:rsidRPr="00CF37E8">
          <w:rPr>
            <w:rFonts w:ascii="Arial" w:eastAsia="Times New Roman" w:hAnsi="Arial" w:cs="Arial"/>
            <w:bCs/>
            <w:sz w:val="24"/>
            <w:szCs w:val="24"/>
            <w:lang w:eastAsia="hr-HR"/>
          </w:rPr>
          <w:t>Zakonu o socijalnoj skrbi</w:t>
        </w:r>
      </w:hyperlink>
      <w:r w:rsidRPr="00CF37E8">
        <w:rPr>
          <w:rFonts w:ascii="Arial" w:eastAsia="Times New Roman" w:hAnsi="Arial" w:cs="Arial"/>
          <w:sz w:val="24"/>
          <w:szCs w:val="24"/>
          <w:lang w:eastAsia="hr-HR"/>
        </w:rPr>
        <w:t> („Narodne novine“, br. 18/22., 46/22., 119/22. i 71/23.), pravo na doplatak za djecu u uvećanom iznosu koje se ostvaruje temeljem oštećenja zdravlja, težeg ili teškog invaliditeta sukladno </w:t>
      </w:r>
      <w:hyperlink r:id="rId6" w:history="1">
        <w:r w:rsidRPr="00CF37E8">
          <w:rPr>
            <w:rFonts w:ascii="Arial" w:eastAsia="Times New Roman" w:hAnsi="Arial" w:cs="Arial"/>
            <w:sz w:val="24"/>
            <w:szCs w:val="24"/>
            <w:lang w:eastAsia="hr-HR"/>
          </w:rPr>
          <w:t>Zakonu o doplatku za djecu</w:t>
        </w:r>
      </w:hyperlink>
      <w:r w:rsidRPr="00CF37E8">
        <w:rPr>
          <w:rFonts w:ascii="Arial" w:eastAsia="Times New Roman" w:hAnsi="Arial" w:cs="Arial"/>
          <w:sz w:val="24"/>
          <w:szCs w:val="24"/>
          <w:lang w:eastAsia="hr-HR"/>
        </w:rPr>
        <w:t> („Narodne novine“, br. 94/01., 138/06., 107/07., 37/08. – Odluka Ustavnog suda Republike Hrvatske, 61/11., 112/12., 82/15. i 58/18.) i pravo na novčanu pomoć za nezaposlene osobe s invaliditetom koje se ostvaruje temeljem </w:t>
      </w:r>
      <w:hyperlink r:id="rId7" w:history="1">
        <w:r w:rsidRPr="00CF37E8">
          <w:rPr>
            <w:rFonts w:ascii="Arial" w:eastAsia="Times New Roman" w:hAnsi="Arial" w:cs="Arial"/>
            <w:sz w:val="24"/>
            <w:szCs w:val="24"/>
            <w:lang w:eastAsia="hr-HR"/>
          </w:rPr>
          <w:t>Zakona o tržištu rada</w:t>
        </w:r>
      </w:hyperlink>
      <w:r w:rsidRPr="00CF37E8">
        <w:rPr>
          <w:rFonts w:ascii="Arial" w:eastAsia="Times New Roman" w:hAnsi="Arial" w:cs="Arial"/>
          <w:sz w:val="24"/>
          <w:szCs w:val="24"/>
          <w:lang w:eastAsia="hr-HR"/>
        </w:rPr>
        <w:t> („Narodne novine“, br. 118/18., 32/20. i 18/22.).</w:t>
      </w:r>
    </w:p>
    <w:p w:rsidR="00CF37E8" w:rsidRPr="00CF37E8" w:rsidRDefault="00CF37E8" w:rsidP="00C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F37E8">
        <w:rPr>
          <w:rFonts w:ascii="Arial" w:eastAsia="Times New Roman" w:hAnsi="Arial" w:cs="Arial"/>
          <w:sz w:val="24"/>
          <w:szCs w:val="24"/>
          <w:lang w:eastAsia="hr-HR"/>
        </w:rPr>
        <w:t xml:space="preserve">Stupanjem na snagu Zakona o </w:t>
      </w:r>
      <w:proofErr w:type="spellStart"/>
      <w:r w:rsidRPr="00CF37E8">
        <w:rPr>
          <w:rFonts w:ascii="Arial" w:eastAsia="Times New Roman" w:hAnsi="Arial" w:cs="Arial"/>
          <w:sz w:val="24"/>
          <w:szCs w:val="24"/>
          <w:lang w:eastAsia="hr-HR"/>
        </w:rPr>
        <w:t>inkluzivnom</w:t>
      </w:r>
      <w:proofErr w:type="spellEnd"/>
      <w:r w:rsidRPr="00CF37E8">
        <w:rPr>
          <w:rFonts w:ascii="Arial" w:eastAsia="Times New Roman" w:hAnsi="Arial" w:cs="Arial"/>
          <w:sz w:val="24"/>
          <w:szCs w:val="24"/>
          <w:lang w:eastAsia="hr-HR"/>
        </w:rPr>
        <w:t xml:space="preserve"> dodatku </w:t>
      </w: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>prestali su važiti članci 50. do 60. Zakona o socijalnoj skrbi („Narodne novine“, broj: 18/22., 46/22., 119/22. i 71/23.)</w:t>
      </w:r>
      <w:r w:rsidRPr="00CF37E8">
        <w:rPr>
          <w:rFonts w:ascii="Arial" w:eastAsia="Times New Roman" w:hAnsi="Arial" w:cs="Arial"/>
          <w:sz w:val="24"/>
          <w:szCs w:val="24"/>
          <w:lang w:eastAsia="hr-HR"/>
        </w:rPr>
        <w:t>, odredbe članka 1. stavka 1. Zakona o tržištu rada („Narodne novine“, broj: 118/18., 32/20. i 18/22.) u dijelu koji se odnosi na novčanu pomoć za nezaposlene osobe s invaliditetom te članka 7. točke 5., članka 70.a i članka 72. stavaka 2. i 3. u dijelu koji se odnosi na novčanu pomoć za nezaposlene osobe s invaliditetom i odredbe članka 12. Zakona o doplatku za djecu („Narodne novine“, broj: 94/01., 138/06., 107/07., 37/08. – Odluka Ustavnog suda Republike Hrvatske, 61/11., 112/12., 82/15. i 58/18.), članka 10. stavka 5., članka 21. stavka 1. u dijelu koji se odnosi na dijete s oštećenjem zdravlja, članka 22. te članak 30.a u dijelu koji se odnosi na ispunjavanje medicinskih uvjeta.</w:t>
      </w:r>
    </w:p>
    <w:p w:rsidR="00CF37E8" w:rsidRPr="00CF37E8" w:rsidRDefault="00CF37E8" w:rsidP="00C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</w:t>
      </w: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sobe oboljele od raka imaju pravo podnijeti zahtjev Područnom uredu Hrvatskog zavoda za socijalni rad (bivši Centar za socijalni rad) u cilju ostvarivanja prava na </w:t>
      </w:r>
      <w:proofErr w:type="spellStart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>inkluzivni</w:t>
      </w:r>
      <w:proofErr w:type="spellEnd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dodatak, a hoće li ga i dobiti odlučuje rješenjem Hrvatski zavod za socijalni rad na temelju nalaza i mišljenja tijela vještačenja, odnosno Zavoda za vještačenje, profesionalnu rehabilitaciju i zapošljavanje osoba s invaliditeto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m</w:t>
      </w:r>
      <w:bookmarkStart w:id="0" w:name="_GoBack"/>
      <w:bookmarkEnd w:id="0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. Uz zahtjev za priznavanje prava na </w:t>
      </w:r>
      <w:proofErr w:type="spellStart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>inkluzivni</w:t>
      </w:r>
      <w:proofErr w:type="spellEnd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dodatak, koji se može skinuti sa stranica Hrvatskog zavoda za socijalni rad, potrebno je priložiti presliku medicinske dokumentacije kojom se objektiviziraju bolesna stanja (nalazi specijalističkih pregleda, otpusna pisma, povijesti bolesti i sl.). Potreban je i </w:t>
      </w:r>
      <w:proofErr w:type="spellStart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fldChar w:fldCharType="begin"/>
      </w: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instrText xml:space="preserve"> HYPERLINK "https://hupt.hr/wp-content/uploads/Dokumenti/Barthelov-index.pdf" </w:instrText>
      </w: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fldChar w:fldCharType="separate"/>
      </w: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>Barthelov</w:t>
      </w:r>
      <w:proofErr w:type="spellEnd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indeks</w:t>
      </w: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fldChar w:fldCharType="end"/>
      </w: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, odnosno obrazac koji govori o stupnju samostalnosti oboljeloga, ali samo kod osoba s tjelesnim oštećenjima. Potrebna je i preslika Nalaza i mišljenja prethodno provedenih vještačenja te potvrda banke, odnosno ovlaštenje ili suglasnost, o broju tekućeg računa u slučaju isplate na račun. Korisnicima dosadašnjih prava na osobnu invalidninu ili doplatak za pomoć i njegu će navedena prava biti ukinuta nakon što se provede postupak priznavanja prava na </w:t>
      </w:r>
      <w:proofErr w:type="spellStart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>inkluzivni</w:t>
      </w:r>
      <w:proofErr w:type="spellEnd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dodatak. Zakon o </w:t>
      </w:r>
      <w:proofErr w:type="spellStart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>inkluzivnom</w:t>
      </w:r>
      <w:proofErr w:type="spellEnd"/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dodatku ne propisuje prihodovni cenzus kao uvjet za ostvarivanje prava te se njegovim stupanjem na snagu ukida dohodovni cenzus, a koji je prema Zakonu o socijalnoj skrbi važio kao uvjet za ostvarivanje prava na doplatak za pomoć i njegu. Iznos odobrenog dodatka varira od 138 do 720 eura mjesečno ovisno o utvrđenoj težini invaliditeta.</w:t>
      </w:r>
    </w:p>
    <w:p w:rsidR="00CF37E8" w:rsidRPr="00CF37E8" w:rsidRDefault="00CF37E8" w:rsidP="00C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F37E8">
        <w:rPr>
          <w:rFonts w:ascii="Arial" w:eastAsia="Times New Roman" w:hAnsi="Arial" w:cs="Arial"/>
          <w:bCs/>
          <w:sz w:val="24"/>
          <w:szCs w:val="24"/>
          <w:lang w:eastAsia="hr-HR"/>
        </w:rPr>
        <w:lastRenderedPageBreak/>
        <w:t>U kategoriji „prava pacijenata“ detaljno su razrađene odredbe </w:t>
      </w:r>
      <w:hyperlink r:id="rId8" w:history="1">
        <w:r w:rsidRPr="00CF37E8">
          <w:rPr>
            <w:rFonts w:ascii="Arial" w:eastAsia="Times New Roman" w:hAnsi="Arial" w:cs="Arial"/>
            <w:bCs/>
            <w:sz w:val="24"/>
            <w:szCs w:val="24"/>
            <w:lang w:eastAsia="hr-HR"/>
          </w:rPr>
          <w:t xml:space="preserve">Zakona o </w:t>
        </w:r>
        <w:proofErr w:type="spellStart"/>
        <w:r w:rsidRPr="00CF37E8">
          <w:rPr>
            <w:rFonts w:ascii="Arial" w:eastAsia="Times New Roman" w:hAnsi="Arial" w:cs="Arial"/>
            <w:bCs/>
            <w:sz w:val="24"/>
            <w:szCs w:val="24"/>
            <w:lang w:eastAsia="hr-HR"/>
          </w:rPr>
          <w:t>inkluzivnom</w:t>
        </w:r>
        <w:proofErr w:type="spellEnd"/>
        <w:r w:rsidRPr="00CF37E8">
          <w:rPr>
            <w:rFonts w:ascii="Arial" w:eastAsia="Times New Roman" w:hAnsi="Arial" w:cs="Arial"/>
            <w:bCs/>
            <w:sz w:val="24"/>
            <w:szCs w:val="24"/>
            <w:lang w:eastAsia="hr-HR"/>
          </w:rPr>
          <w:t xml:space="preserve"> dodatku</w:t>
        </w:r>
      </w:hyperlink>
      <w:r w:rsidRPr="00CF37E8">
        <w:rPr>
          <w:rFonts w:ascii="Arial" w:eastAsia="Times New Roman" w:hAnsi="Arial" w:cs="Arial"/>
          <w:sz w:val="24"/>
          <w:szCs w:val="24"/>
          <w:lang w:eastAsia="hr-HR"/>
        </w:rPr>
        <w:t xml:space="preserve"> (definiranje uvjeta za priznavanje prava na </w:t>
      </w:r>
      <w:proofErr w:type="spellStart"/>
      <w:r w:rsidRPr="00CF37E8">
        <w:rPr>
          <w:rFonts w:ascii="Arial" w:eastAsia="Times New Roman" w:hAnsi="Arial" w:cs="Arial"/>
          <w:sz w:val="24"/>
          <w:szCs w:val="24"/>
          <w:lang w:eastAsia="hr-HR"/>
        </w:rPr>
        <w:t>inkluzivni</w:t>
      </w:r>
      <w:proofErr w:type="spellEnd"/>
      <w:r w:rsidRPr="00CF37E8">
        <w:rPr>
          <w:rFonts w:ascii="Arial" w:eastAsia="Times New Roman" w:hAnsi="Arial" w:cs="Arial"/>
          <w:sz w:val="24"/>
          <w:szCs w:val="24"/>
          <w:lang w:eastAsia="hr-HR"/>
        </w:rPr>
        <w:t xml:space="preserve"> dodatak, iznos </w:t>
      </w:r>
      <w:proofErr w:type="spellStart"/>
      <w:r w:rsidRPr="00CF37E8">
        <w:rPr>
          <w:rFonts w:ascii="Arial" w:eastAsia="Times New Roman" w:hAnsi="Arial" w:cs="Arial"/>
          <w:sz w:val="24"/>
          <w:szCs w:val="24"/>
          <w:lang w:eastAsia="hr-HR"/>
        </w:rPr>
        <w:t>inkluzivnog</w:t>
      </w:r>
      <w:proofErr w:type="spellEnd"/>
      <w:r w:rsidRPr="00CF37E8">
        <w:rPr>
          <w:rFonts w:ascii="Arial" w:eastAsia="Times New Roman" w:hAnsi="Arial" w:cs="Arial"/>
          <w:sz w:val="24"/>
          <w:szCs w:val="24"/>
          <w:lang w:eastAsia="hr-HR"/>
        </w:rPr>
        <w:t xml:space="preserve"> dodatka, razine potpore potrebne osobama s invaliditetom, te druga pitanja povezana s </w:t>
      </w:r>
      <w:proofErr w:type="spellStart"/>
      <w:r w:rsidRPr="00CF37E8">
        <w:rPr>
          <w:rFonts w:ascii="Arial" w:eastAsia="Times New Roman" w:hAnsi="Arial" w:cs="Arial"/>
          <w:sz w:val="24"/>
          <w:szCs w:val="24"/>
          <w:lang w:eastAsia="hr-HR"/>
        </w:rPr>
        <w:t>inkluzivnim</w:t>
      </w:r>
      <w:proofErr w:type="spellEnd"/>
      <w:r w:rsidRPr="00CF37E8">
        <w:rPr>
          <w:rFonts w:ascii="Arial" w:eastAsia="Times New Roman" w:hAnsi="Arial" w:cs="Arial"/>
          <w:sz w:val="24"/>
          <w:szCs w:val="24"/>
          <w:lang w:eastAsia="hr-HR"/>
        </w:rPr>
        <w:t xml:space="preserve"> dodatkom i objedinjenjem prava koja se ostvaruju na temelju invaliditeta, i to: pravo na osobnu invalidninu, pravo na doplatak za pomoć i njegu, pravo na doplatak za dijete s težim ili teškim invaliditetom i dijete s oštećenjem zdravlja te pravo na novčanu pomoć za nezaposlene osobe s invaliditetom).</w:t>
      </w:r>
    </w:p>
    <w:p w:rsidR="00B74875" w:rsidRPr="00CF37E8" w:rsidRDefault="00B74875">
      <w:pPr>
        <w:rPr>
          <w:rFonts w:ascii="Arial" w:hAnsi="Arial" w:cs="Arial"/>
          <w:sz w:val="24"/>
          <w:szCs w:val="24"/>
        </w:rPr>
      </w:pPr>
    </w:p>
    <w:sectPr w:rsidR="00B74875" w:rsidRPr="00CF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E8"/>
    <w:rsid w:val="00B74875"/>
    <w:rsid w:val="00C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3537"/>
  <w15:chartTrackingRefBased/>
  <w15:docId w15:val="{519F823B-8C58-4AED-98A1-576AE502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CF3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F37E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F37E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F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3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670/Zakon-o-inkluzivnom-dodatk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z/1751/Zakon-o-tr%C5%BEi%C5%A1tu-ra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z/475/Zakon-o-doplatku-za-djecu" TargetMode="External"/><Relationship Id="rId5" Type="http://schemas.openxmlformats.org/officeDocument/2006/relationships/hyperlink" Target="https://www.zakon.hr/z/222/Zakon-o-socijalnoj-skrb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zakon.hr/z/3670/Zakon-o-inkluzivnom-dodatk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Vodopija</dc:creator>
  <cp:keywords/>
  <dc:description/>
  <cp:lastModifiedBy>Natalija Vodopija</cp:lastModifiedBy>
  <cp:revision>1</cp:revision>
  <dcterms:created xsi:type="dcterms:W3CDTF">2024-10-17T12:45:00Z</dcterms:created>
  <dcterms:modified xsi:type="dcterms:W3CDTF">2024-10-17T12:48:00Z</dcterms:modified>
</cp:coreProperties>
</file>